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2D5" w:rsidRPr="007D32D5" w:rsidRDefault="00194457" w:rsidP="00120661">
      <w:pPr>
        <w:rPr>
          <w:b/>
        </w:rPr>
      </w:pPr>
      <w:r w:rsidRPr="001F6EBD">
        <w:br/>
      </w:r>
      <w:r w:rsidRPr="001F6EBD">
        <w:br/>
      </w:r>
      <w:r w:rsidR="006237E3">
        <w:rPr>
          <w:b/>
        </w:rPr>
        <w:t xml:space="preserve">Atlantic basin </w:t>
      </w:r>
      <w:r w:rsidR="007A2D1F">
        <w:rPr>
          <w:b/>
        </w:rPr>
        <w:t xml:space="preserve">gasoline </w:t>
      </w:r>
      <w:r w:rsidR="006237E3">
        <w:rPr>
          <w:b/>
        </w:rPr>
        <w:t xml:space="preserve">exports </w:t>
      </w:r>
      <w:r w:rsidR="007A2D1F">
        <w:rPr>
          <w:b/>
        </w:rPr>
        <w:t>support European refining margins</w:t>
      </w:r>
      <w:r w:rsidR="00537F78">
        <w:rPr>
          <w:b/>
        </w:rPr>
        <w:t xml:space="preserve"> </w:t>
      </w:r>
      <w:r w:rsidR="007D32D5" w:rsidRPr="007D32D5">
        <w:rPr>
          <w:b/>
        </w:rPr>
        <w:t xml:space="preserve"> </w:t>
      </w:r>
    </w:p>
    <w:p w:rsidR="00194457" w:rsidRDefault="00340827" w:rsidP="00120661">
      <w:r>
        <w:t>While m</w:t>
      </w:r>
      <w:r w:rsidR="001F6EBD" w:rsidRPr="00120661">
        <w:t xml:space="preserve">otorists in the UK and Europe have </w:t>
      </w:r>
      <w:r>
        <w:t xml:space="preserve">seen </w:t>
      </w:r>
      <w:r w:rsidR="001F6EBD" w:rsidRPr="00120661">
        <w:t xml:space="preserve">retail </w:t>
      </w:r>
      <w:r>
        <w:t xml:space="preserve">fuel </w:t>
      </w:r>
      <w:r w:rsidR="001F6EBD" w:rsidRPr="00120661">
        <w:t xml:space="preserve">prices </w:t>
      </w:r>
      <w:r>
        <w:t xml:space="preserve">slide as </w:t>
      </w:r>
      <w:r w:rsidR="001F6EBD" w:rsidRPr="00120661">
        <w:t>crude has fallen, changing fundamentals in oil products markets ha</w:t>
      </w:r>
      <w:r>
        <w:t>ve</w:t>
      </w:r>
      <w:r w:rsidR="001F6EBD" w:rsidRPr="00120661">
        <w:t xml:space="preserve"> meant the falls have not been as sharp as crude’s – yet, at any rate – </w:t>
      </w:r>
      <w:r w:rsidR="004D355F">
        <w:t xml:space="preserve">and this has been </w:t>
      </w:r>
      <w:r w:rsidR="00CB657B">
        <w:t xml:space="preserve">reflected </w:t>
      </w:r>
      <w:r w:rsidR="004D355F">
        <w:t xml:space="preserve">recently in </w:t>
      </w:r>
      <w:r w:rsidR="009E4E27">
        <w:t>high refinery margins and healthy downstream profits</w:t>
      </w:r>
      <w:r w:rsidR="007A2D1F">
        <w:t xml:space="preserve"> in Europe</w:t>
      </w:r>
      <w:r w:rsidR="00DF7573">
        <w:t>.</w:t>
      </w:r>
      <w:r w:rsidR="006237E3">
        <w:t xml:space="preserve"> </w:t>
      </w:r>
      <w:r w:rsidR="00CB657B">
        <w:t xml:space="preserve">This is </w:t>
      </w:r>
      <w:r w:rsidR="001F6EBD" w:rsidRPr="00120661">
        <w:t xml:space="preserve">especially </w:t>
      </w:r>
      <w:r w:rsidR="00CB657B">
        <w:t xml:space="preserve">true for </w:t>
      </w:r>
      <w:r w:rsidR="001F6EBD" w:rsidRPr="00120661">
        <w:t>gasoline, which is now more expensive than diesel again</w:t>
      </w:r>
      <w:r w:rsidR="00DF7573">
        <w:t xml:space="preserve"> across </w:t>
      </w:r>
      <w:r w:rsidR="00E3366F">
        <w:t>the whole continent</w:t>
      </w:r>
      <w:r w:rsidR="001F6EBD" w:rsidRPr="00120661">
        <w:t>, for the first time in 14 years</w:t>
      </w:r>
      <w:r>
        <w:t xml:space="preserve">, supported by </w:t>
      </w:r>
      <w:r w:rsidR="007A2D1F">
        <w:t>strong Atlantic basin exports</w:t>
      </w:r>
      <w:r w:rsidR="001F6EBD" w:rsidRPr="00120661">
        <w:t xml:space="preserve">. </w:t>
      </w:r>
      <w:r>
        <w:t>The premium looks here to stay for the immediate future, returning gasoline to the top of the refinery cut in terms of value – a position it enjoyed for many years before 2001</w:t>
      </w:r>
      <w:r w:rsidR="007A2D1F">
        <w:t xml:space="preserve"> – and providing some support for refinery margins into the autumn</w:t>
      </w:r>
      <w:r>
        <w:t xml:space="preserve">. </w:t>
      </w:r>
    </w:p>
    <w:p w:rsidR="0008611F" w:rsidRDefault="00CB657B" w:rsidP="00195389">
      <w:r w:rsidRPr="00CB657B">
        <w:t xml:space="preserve">Gasoline demand worldwide has responded to lower </w:t>
      </w:r>
      <w:r w:rsidR="001579F1">
        <w:t xml:space="preserve">crude-led </w:t>
      </w:r>
      <w:r w:rsidRPr="00CB657B">
        <w:t xml:space="preserve">prices by rising sharply since </w:t>
      </w:r>
      <w:r w:rsidR="007A2D1F">
        <w:t>the fourth quarter last year</w:t>
      </w:r>
      <w:r w:rsidR="00B111B7">
        <w:t>. With Europe the only global region with a gasoline surplus</w:t>
      </w:r>
      <w:r w:rsidRPr="00CB657B">
        <w:t xml:space="preserve">, </w:t>
      </w:r>
      <w:r w:rsidR="00B111B7">
        <w:t xml:space="preserve">this has driven up </w:t>
      </w:r>
      <w:r w:rsidR="00B25BDD">
        <w:t>exports</w:t>
      </w:r>
      <w:r w:rsidR="00B111B7">
        <w:t xml:space="preserve">, as well as </w:t>
      </w:r>
      <w:r w:rsidR="00E3366F">
        <w:t>helping support</w:t>
      </w:r>
      <w:r w:rsidR="00B111B7">
        <w:t xml:space="preserve"> local consumption</w:t>
      </w:r>
      <w:r w:rsidRPr="00CB657B">
        <w:t xml:space="preserve">. </w:t>
      </w:r>
      <w:r w:rsidR="0008611F" w:rsidRPr="0008611F">
        <w:t xml:space="preserve">About 30% of European refinery gasoline production is exported on a net basis, with strong trade links particularly with </w:t>
      </w:r>
      <w:r w:rsidR="0008611F">
        <w:t xml:space="preserve">the eastern US, and other Atlantic Basin markets such as </w:t>
      </w:r>
      <w:r w:rsidR="00B25BDD" w:rsidRPr="00B25BDD">
        <w:t>West Africa</w:t>
      </w:r>
      <w:r w:rsidR="0008611F">
        <w:t>.</w:t>
      </w:r>
    </w:p>
    <w:p w:rsidR="00B25BDD" w:rsidRDefault="0008611F" w:rsidP="00195389">
      <w:r>
        <w:t xml:space="preserve">The </w:t>
      </w:r>
      <w:r w:rsidR="00B25BDD" w:rsidRPr="00B25BDD">
        <w:t>North America</w:t>
      </w:r>
      <w:r>
        <w:t>n gasoline market</w:t>
      </w:r>
      <w:r w:rsidR="00B111B7">
        <w:t xml:space="preserve"> has been responding particularly strongly to lower prices</w:t>
      </w:r>
      <w:r>
        <w:t xml:space="preserve">. </w:t>
      </w:r>
      <w:r w:rsidR="004D355F" w:rsidRPr="004D355F">
        <w:t>During the period</w:t>
      </w:r>
      <w:r w:rsidR="00B111B7">
        <w:t xml:space="preserve"> of November 2014 to May 2015, </w:t>
      </w:r>
      <w:r w:rsidR="004D355F" w:rsidRPr="004D355F">
        <w:t xml:space="preserve">demand </w:t>
      </w:r>
      <w:r w:rsidR="00E3366F">
        <w:t xml:space="preserve">in the US </w:t>
      </w:r>
      <w:r w:rsidR="004D355F" w:rsidRPr="004D355F">
        <w:t xml:space="preserve">rose 5.2% </w:t>
      </w:r>
      <w:r w:rsidR="007A2D1F">
        <w:t xml:space="preserve">compared to the </w:t>
      </w:r>
      <w:r w:rsidR="004D355F" w:rsidRPr="004D355F">
        <w:t xml:space="preserve">same period in the previous year. </w:t>
      </w:r>
      <w:r w:rsidR="004D355F">
        <w:t>On top of this</w:t>
      </w:r>
      <w:r w:rsidR="00B111B7">
        <w:t>,</w:t>
      </w:r>
      <w:r w:rsidR="004D355F">
        <w:t xml:space="preserve"> </w:t>
      </w:r>
      <w:r w:rsidR="00B25BDD" w:rsidRPr="00B25BDD">
        <w:t xml:space="preserve">Mexico </w:t>
      </w:r>
      <w:r w:rsidR="004D355F">
        <w:t xml:space="preserve">is </w:t>
      </w:r>
      <w:r w:rsidR="00B25BDD" w:rsidRPr="00B25BDD">
        <w:t>experienc</w:t>
      </w:r>
      <w:r w:rsidR="004D355F">
        <w:t>ing</w:t>
      </w:r>
      <w:r w:rsidR="00B25BDD" w:rsidRPr="00B25BDD">
        <w:t xml:space="preserve"> an increasing production shortfall, partly due to </w:t>
      </w:r>
      <w:r w:rsidR="00B25BDD">
        <w:t>extensive refinery maintenance, which has drawn in imports and further tightened US Gulf Coast markets</w:t>
      </w:r>
      <w:r w:rsidR="00B25BDD" w:rsidRPr="00B25BDD">
        <w:t>.</w:t>
      </w:r>
      <w:r>
        <w:t xml:space="preserve"> </w:t>
      </w:r>
      <w:r w:rsidR="00B25BDD" w:rsidRPr="00B25BDD">
        <w:t>Earlier in the year</w:t>
      </w:r>
      <w:r w:rsidR="00B25BDD">
        <w:t>,</w:t>
      </w:r>
      <w:r w:rsidR="00B25BDD" w:rsidRPr="00B25BDD">
        <w:t xml:space="preserve"> monthly exports </w:t>
      </w:r>
      <w:r w:rsidR="009E4E27">
        <w:t xml:space="preserve">from Europe </w:t>
      </w:r>
      <w:r w:rsidR="00B25BDD" w:rsidRPr="00B25BDD">
        <w:t xml:space="preserve">to Nigeria were at times twice the levels of last year, at up to 330,000 b/d, although these </w:t>
      </w:r>
      <w:r w:rsidR="00E3366F">
        <w:t xml:space="preserve">have </w:t>
      </w:r>
      <w:r w:rsidR="00B25BDD" w:rsidRPr="00B25BDD">
        <w:t>now return</w:t>
      </w:r>
      <w:r w:rsidR="00E3366F">
        <w:t>ed</w:t>
      </w:r>
      <w:r w:rsidR="00B25BDD" w:rsidRPr="00B25BDD">
        <w:t xml:space="preserve"> to nearer normal levels</w:t>
      </w:r>
      <w:r w:rsidR="00B25BDD">
        <w:t>, according to Argus</w:t>
      </w:r>
      <w:r w:rsidR="007A2D1F">
        <w:t xml:space="preserve"> Media</w:t>
      </w:r>
      <w:r w:rsidR="00B25BDD" w:rsidRPr="00B25BDD">
        <w:t>.</w:t>
      </w:r>
    </w:p>
    <w:p w:rsidR="001579F1" w:rsidRDefault="00B25BDD" w:rsidP="00195389">
      <w:r w:rsidRPr="00B25BDD">
        <w:t xml:space="preserve">In </w:t>
      </w:r>
      <w:r w:rsidR="0000423B">
        <w:t xml:space="preserve">Europe </w:t>
      </w:r>
      <w:r w:rsidR="00E3366F">
        <w:t xml:space="preserve">itself </w:t>
      </w:r>
      <w:r w:rsidR="0000423B">
        <w:t>there has been less support, with the International Energy Agency showing a slight decline in gasoline demand so far this year, to 1.91 million b/d in May from 1.93 last year, largely due to falls in the UK</w:t>
      </w:r>
      <w:r w:rsidR="001579F1">
        <w:t>,</w:t>
      </w:r>
      <w:r w:rsidR="0000423B">
        <w:t xml:space="preserve"> where drive</w:t>
      </w:r>
      <w:r w:rsidR="00E3366F">
        <w:t>rs continue to switch to diesel</w:t>
      </w:r>
      <w:r w:rsidR="001579F1">
        <w:t xml:space="preserve"> -</w:t>
      </w:r>
      <w:r w:rsidR="00E3366F">
        <w:t xml:space="preserve"> although rises of above 3% are being seen this summer in France and Italy. </w:t>
      </w:r>
    </w:p>
    <w:p w:rsidR="004D355F" w:rsidRDefault="008E480C" w:rsidP="00195389">
      <w:r w:rsidRPr="008E480C">
        <w:t xml:space="preserve">“Although European pump prices are some 20 to 25% lower now than before the end of last year, the effect on demand trends is minor compared with what we have seen in the United States this year,” said Damian Kennaby, director, Oil Markets and Downstream Services at IHS Energy. </w:t>
      </w:r>
      <w:r w:rsidR="00E3366F">
        <w:t xml:space="preserve">If prices had not fallen, however, European demand would probably be negative in line with </w:t>
      </w:r>
      <w:r w:rsidR="00B111B7">
        <w:t>the underlying steady decline seen over recent years.</w:t>
      </w:r>
    </w:p>
    <w:p w:rsidR="009E49FA" w:rsidRDefault="001579F1" w:rsidP="00195389">
      <w:r>
        <w:t>European d</w:t>
      </w:r>
      <w:r w:rsidR="00216C6E">
        <w:t>iesel demand, on the other hand</w:t>
      </w:r>
      <w:r>
        <w:t>,</w:t>
      </w:r>
      <w:r w:rsidR="00216C6E">
        <w:t xml:space="preserve"> is up slightly this year, according to the IEA</w:t>
      </w:r>
      <w:r>
        <w:t>. B</w:t>
      </w:r>
      <w:r w:rsidR="00216C6E">
        <w:t xml:space="preserve">ut refiners have few diesel export opportunities and are facing substantial and growing inflows from the Middle East, North Africa and Russia. Most European refineries are configured to maximise diesel output, but in the </w:t>
      </w:r>
      <w:r w:rsidR="009E49FA" w:rsidRPr="009E49FA">
        <w:t>UK</w:t>
      </w:r>
      <w:r w:rsidR="009E49FA">
        <w:t>, refineries are configured to produce mostly gasoline</w:t>
      </w:r>
      <w:r w:rsidR="00216C6E">
        <w:t xml:space="preserve">, leaving them well placed to meet the export demand as domestic demand continues to fall (down 5.1% in June compared to a year earlier, according to the IEA). </w:t>
      </w:r>
      <w:r w:rsidR="00216C6E" w:rsidRPr="00216C6E">
        <w:t>Half of UK cars are now diesel co</w:t>
      </w:r>
      <w:r w:rsidR="00216C6E">
        <w:t xml:space="preserve">mpared to just 10% 15 years ago, </w:t>
      </w:r>
      <w:r>
        <w:t xml:space="preserve">pushing the </w:t>
      </w:r>
      <w:r w:rsidR="00216C6E">
        <w:t xml:space="preserve">UK’s reliance on diesel imports </w:t>
      </w:r>
      <w:r>
        <w:t xml:space="preserve">to over </w:t>
      </w:r>
      <w:r w:rsidR="009E49FA" w:rsidRPr="009E49FA">
        <w:t>40%.</w:t>
      </w:r>
    </w:p>
    <w:p w:rsidR="009E49FA" w:rsidRDefault="009E49FA" w:rsidP="00195389">
      <w:r w:rsidRPr="009E49FA">
        <w:t xml:space="preserve">The wholesale market price reversal is already being reflected at the pump, with the average cost of a litre of diesel </w:t>
      </w:r>
      <w:r w:rsidR="009E4E27">
        <w:t>in the UK having fallen to EUR1.53</w:t>
      </w:r>
      <w:r w:rsidRPr="009E49FA">
        <w:t xml:space="preserve"> </w:t>
      </w:r>
      <w:r w:rsidR="009E4E27">
        <w:t>at</w:t>
      </w:r>
      <w:r w:rsidRPr="009E49FA">
        <w:t xml:space="preserve"> </w:t>
      </w:r>
      <w:r w:rsidR="009E4E27">
        <w:t xml:space="preserve">the end of </w:t>
      </w:r>
      <w:r w:rsidRPr="009E49FA">
        <w:t xml:space="preserve">August, compared with </w:t>
      </w:r>
      <w:r w:rsidR="009E4E27">
        <w:t>EUR</w:t>
      </w:r>
      <w:r w:rsidRPr="009E49FA">
        <w:t>1</w:t>
      </w:r>
      <w:r w:rsidR="009E4E27">
        <w:t>.55 for gasoline, according to figures from the European Commission</w:t>
      </w:r>
      <w:r w:rsidR="001579F1">
        <w:t xml:space="preserve"> (see table for</w:t>
      </w:r>
      <w:r w:rsidR="004C17FC">
        <w:t xml:space="preserve"> other</w:t>
      </w:r>
      <w:r w:rsidR="001579F1">
        <w:t xml:space="preserve"> countries)</w:t>
      </w:r>
      <w:r w:rsidRPr="009E49FA">
        <w:t xml:space="preserve">. Elsewhere in Europe the </w:t>
      </w:r>
      <w:r w:rsidR="001579F1">
        <w:t>gasoline premium is higher, reflecting local availability</w:t>
      </w:r>
      <w:r w:rsidR="004C17FC">
        <w:t xml:space="preserve"> and taxes</w:t>
      </w:r>
      <w:r w:rsidR="001579F1">
        <w:t xml:space="preserve">. </w:t>
      </w:r>
      <w:r w:rsidR="004C17FC">
        <w:t>Overall, t</w:t>
      </w:r>
      <w:r w:rsidR="001579F1">
        <w:t xml:space="preserve">he </w:t>
      </w:r>
      <w:r w:rsidRPr="009E49FA">
        <w:t xml:space="preserve">UK has the highest retail prices in Europe due to relatively high taxes. </w:t>
      </w:r>
    </w:p>
    <w:p w:rsidR="00F61668" w:rsidRDefault="00F61668" w:rsidP="00120661"/>
    <w:p w:rsidR="00343794" w:rsidRDefault="00566093" w:rsidP="00F61668">
      <w:r>
        <w:rPr>
          <w:noProof/>
          <w:lang w:eastAsia="en-GB"/>
        </w:rPr>
        <w:drawing>
          <wp:inline distT="0" distB="0" distL="0" distR="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43794" w:rsidRDefault="00343794" w:rsidP="00F61668">
      <w:r>
        <w:t>Source: 27</w:t>
      </w:r>
      <w:r w:rsidRPr="00343794">
        <w:rPr>
          <w:vertAlign w:val="superscript"/>
        </w:rPr>
        <w:t>th</w:t>
      </w:r>
      <w:r>
        <w:t xml:space="preserve"> August, European Commission</w:t>
      </w:r>
      <w:r w:rsidR="007D32D5">
        <w:t xml:space="preserve"> (includes taxes)</w:t>
      </w:r>
      <w:r>
        <w:t xml:space="preserve">. </w:t>
      </w:r>
      <w:r w:rsidRPr="00343794">
        <w:t>http://ec.europa.eu/energy/index_en.htm</w:t>
      </w:r>
    </w:p>
    <w:p w:rsidR="006237E3" w:rsidRPr="0008611F" w:rsidRDefault="006237E3" w:rsidP="006237E3">
      <w:pPr>
        <w:rPr>
          <w:b/>
        </w:rPr>
      </w:pPr>
      <w:r w:rsidRPr="0008611F">
        <w:rPr>
          <w:b/>
        </w:rPr>
        <w:t xml:space="preserve">Widening </w:t>
      </w:r>
      <w:r w:rsidR="00014291">
        <w:rPr>
          <w:b/>
        </w:rPr>
        <w:t xml:space="preserve">gasoline </w:t>
      </w:r>
      <w:r w:rsidRPr="0008611F">
        <w:rPr>
          <w:b/>
        </w:rPr>
        <w:t>spreads</w:t>
      </w:r>
    </w:p>
    <w:p w:rsidR="006237E3" w:rsidRDefault="006237E3" w:rsidP="006237E3">
      <w:r>
        <w:t xml:space="preserve">The strong gasoline demand has meant </w:t>
      </w:r>
      <w:r w:rsidRPr="00F61668">
        <w:t>European gasoline spreads, or gasoline prices relative to crude, have risen steadily in 2015, reaching average monthly h</w:t>
      </w:r>
      <w:r>
        <w:t xml:space="preserve">ighs not seen since May 2007.  </w:t>
      </w:r>
      <w:r w:rsidRPr="008E0FF9">
        <w:t>CIF (delivered) Northwest European spreads over Dated Brent have risen from typical levels of $13 -$15/</w:t>
      </w:r>
      <w:proofErr w:type="spellStart"/>
      <w:r w:rsidRPr="008E0FF9">
        <w:t>bl</w:t>
      </w:r>
      <w:proofErr w:type="spellEnd"/>
      <w:r w:rsidRPr="008E0FF9">
        <w:t>, to monthly averages of more than $24/</w:t>
      </w:r>
      <w:proofErr w:type="spellStart"/>
      <w:r w:rsidRPr="008E0FF9">
        <w:t>bl</w:t>
      </w:r>
      <w:proofErr w:type="spellEnd"/>
      <w:r w:rsidR="001579F1">
        <w:t xml:space="preserve">, while </w:t>
      </w:r>
      <w:r w:rsidRPr="008E0FF9">
        <w:t xml:space="preserve">daily averages </w:t>
      </w:r>
      <w:r w:rsidR="001579F1">
        <w:t xml:space="preserve">have at times exceeded </w:t>
      </w:r>
      <w:r w:rsidRPr="008E0FF9">
        <w:t>$33/bl.</w:t>
      </w:r>
    </w:p>
    <w:p w:rsidR="006237E3" w:rsidRDefault="006237E3" w:rsidP="006237E3">
      <w:r>
        <w:t>“This year, we have seen the highest European ga</w:t>
      </w:r>
      <w:r w:rsidR="009E4E27">
        <w:t xml:space="preserve">soline spreads in eight years… </w:t>
      </w:r>
      <w:r>
        <w:t>We have also observed that gasoline spreads in both Northwest Europe and the Mediterranean have been increasing steadily, but strongly, since December 2014</w:t>
      </w:r>
      <w:r w:rsidR="00014291">
        <w:t>,</w:t>
      </w:r>
      <w:r>
        <w:t>”</w:t>
      </w:r>
      <w:r w:rsidR="00014291">
        <w:t xml:space="preserve"> said </w:t>
      </w:r>
      <w:r w:rsidR="001F743E">
        <w:t xml:space="preserve">IHS Energy’s </w:t>
      </w:r>
      <w:r w:rsidR="00014291">
        <w:t>Mr Kennaby.</w:t>
      </w:r>
    </w:p>
    <w:p w:rsidR="006237E3" w:rsidRDefault="006237E3" w:rsidP="006237E3">
      <w:r w:rsidRPr="008E480C">
        <w:t>The strong demand has allowed high refinery operating levels</w:t>
      </w:r>
      <w:r w:rsidR="001F743E">
        <w:t xml:space="preserve"> </w:t>
      </w:r>
      <w:r w:rsidR="001579F1">
        <w:t>–</w:t>
      </w:r>
      <w:r w:rsidR="001F743E">
        <w:t xml:space="preserve"> </w:t>
      </w:r>
      <w:r w:rsidR="001579F1">
        <w:t xml:space="preserve">at around </w:t>
      </w:r>
      <w:r>
        <w:t>86</w:t>
      </w:r>
      <w:r w:rsidRPr="008E480C">
        <w:t>% of capacity</w:t>
      </w:r>
      <w:r w:rsidR="001F743E">
        <w:t xml:space="preserve"> this year -</w:t>
      </w:r>
      <w:r>
        <w:t xml:space="preserve"> </w:t>
      </w:r>
      <w:r w:rsidR="001F743E">
        <w:t xml:space="preserve">without undermining </w:t>
      </w:r>
      <w:r w:rsidRPr="008E480C">
        <w:t>European refinery margins</w:t>
      </w:r>
      <w:r w:rsidR="001F743E">
        <w:t xml:space="preserve">, which have recovered to </w:t>
      </w:r>
      <w:r w:rsidRPr="008E480C">
        <w:t xml:space="preserve">levels last reached in September 2012 – marking a significant </w:t>
      </w:r>
      <w:r w:rsidR="001F743E">
        <w:t xml:space="preserve">rebound </w:t>
      </w:r>
      <w:r w:rsidRPr="008E480C">
        <w:t>from the persistent lows of 2013 and 2014.</w:t>
      </w:r>
    </w:p>
    <w:p w:rsidR="008E0FF9" w:rsidRDefault="008E480C" w:rsidP="00F61668">
      <w:r>
        <w:t>The gasoline crack spread</w:t>
      </w:r>
      <w:r w:rsidR="00F61668">
        <w:t xml:space="preserve"> usually reach</w:t>
      </w:r>
      <w:r>
        <w:t>es</w:t>
      </w:r>
      <w:r w:rsidR="00F61668">
        <w:t xml:space="preserve"> a maximum in the second quarter of the year </w:t>
      </w:r>
      <w:r w:rsidR="00BB4163">
        <w:t xml:space="preserve">due to </w:t>
      </w:r>
      <w:r w:rsidR="00F61668">
        <w:t xml:space="preserve">more stringent </w:t>
      </w:r>
      <w:r w:rsidR="00BB4163">
        <w:t xml:space="preserve">and </w:t>
      </w:r>
      <w:r w:rsidR="00F61668">
        <w:t>expensive summer gasoline specifications</w:t>
      </w:r>
      <w:r w:rsidR="00BB4163">
        <w:t xml:space="preserve"> in some regions</w:t>
      </w:r>
      <w:r w:rsidR="001F743E">
        <w:t>,</w:t>
      </w:r>
      <w:r w:rsidR="00F61668">
        <w:t xml:space="preserve"> co</w:t>
      </w:r>
      <w:r w:rsidR="00BB4163">
        <w:t>mbined w</w:t>
      </w:r>
      <w:r w:rsidR="00F61668">
        <w:t>ith an increase in demand as the traditional US</w:t>
      </w:r>
      <w:r w:rsidR="008E0FF9">
        <w:t xml:space="preserve"> driving season gets underway</w:t>
      </w:r>
      <w:r w:rsidR="00BB4163">
        <w:t>. But</w:t>
      </w:r>
      <w:r w:rsidR="008E0FF9">
        <w:t xml:space="preserve"> this year the additional </w:t>
      </w:r>
      <w:r w:rsidR="00E23987">
        <w:t>export d</w:t>
      </w:r>
      <w:r w:rsidR="008E0FF9">
        <w:t xml:space="preserve">emand </w:t>
      </w:r>
      <w:r w:rsidR="00E23987">
        <w:t>is</w:t>
      </w:r>
      <w:bookmarkStart w:id="0" w:name="_GoBack"/>
      <w:bookmarkEnd w:id="0"/>
      <w:r w:rsidR="008E0FF9">
        <w:t xml:space="preserve"> keeping markets tighter into the autumn.</w:t>
      </w:r>
    </w:p>
    <w:p w:rsidR="006A3E07" w:rsidRDefault="008E480C" w:rsidP="008E480C">
      <w:r>
        <w:t xml:space="preserve">Looking ahead, </w:t>
      </w:r>
      <w:r>
        <w:t xml:space="preserve">Argus said </w:t>
      </w:r>
      <w:r w:rsidR="001F743E">
        <w:t>the export demand combined with a</w:t>
      </w:r>
      <w:r>
        <w:t xml:space="preserve"> raft of refinery closures and shut-ins across Europe over recent years may now be sufficient to support gasoline margins nearer current levels for some tim</w:t>
      </w:r>
      <w:r w:rsidR="00216C6E">
        <w:t>e to come</w:t>
      </w:r>
      <w:r w:rsidR="001F743E">
        <w:t xml:space="preserve">. </w:t>
      </w:r>
      <w:r w:rsidR="001F743E" w:rsidRPr="001F743E">
        <w:t xml:space="preserve">Longer term support may come from strong demand in China, and India - where </w:t>
      </w:r>
      <w:r w:rsidR="001F743E">
        <w:t xml:space="preserve">gasoline </w:t>
      </w:r>
      <w:r w:rsidR="001F743E" w:rsidRPr="001F743E">
        <w:t>growth is currently averagi</w:t>
      </w:r>
      <w:r w:rsidR="001F743E">
        <w:t xml:space="preserve">ng a staggering 18% per year. </w:t>
      </w:r>
    </w:p>
    <w:p w:rsidR="00DC1EAC" w:rsidRDefault="006A3E07" w:rsidP="008E480C">
      <w:r>
        <w:t xml:space="preserve">In the immediate future however, </w:t>
      </w:r>
      <w:r w:rsidRPr="006A3E07">
        <w:t>IHS Energy expects gasoline spreads to peak by the beginning of the third quarter and then decline seasonally</w:t>
      </w:r>
      <w:r>
        <w:t xml:space="preserve"> as summer driving comes to an end. It said </w:t>
      </w:r>
      <w:r w:rsidRPr="006A3E07">
        <w:t xml:space="preserve">European </w:t>
      </w:r>
      <w:r w:rsidRPr="006A3E07">
        <w:lastRenderedPageBreak/>
        <w:t xml:space="preserve">prices </w:t>
      </w:r>
      <w:r>
        <w:t xml:space="preserve">would </w:t>
      </w:r>
      <w:r w:rsidRPr="006A3E07">
        <w:t xml:space="preserve">remain heavily dependent on </w:t>
      </w:r>
      <w:r>
        <w:t xml:space="preserve">the </w:t>
      </w:r>
      <w:r w:rsidRPr="006A3E07">
        <w:t>supply</w:t>
      </w:r>
      <w:r>
        <w:t xml:space="preserve"> and </w:t>
      </w:r>
      <w:r w:rsidRPr="006A3E07">
        <w:t xml:space="preserve">demand balances </w:t>
      </w:r>
      <w:r>
        <w:t xml:space="preserve">across the </w:t>
      </w:r>
      <w:r w:rsidRPr="006A3E07">
        <w:t xml:space="preserve">Atlantic </w:t>
      </w:r>
      <w:r w:rsidR="001F743E">
        <w:t>basin</w:t>
      </w:r>
      <w:r>
        <w:t>, and could be influenced by any impact on Caribbean production from the Hurricane season</w:t>
      </w:r>
      <w:r w:rsidRPr="006A3E07">
        <w:t>.</w:t>
      </w:r>
      <w:r w:rsidR="008E480C">
        <w:t xml:space="preserve">                                                                                        </w:t>
      </w:r>
    </w:p>
    <w:p w:rsidR="00014291" w:rsidRDefault="00DC1EAC" w:rsidP="00120661">
      <w:r>
        <w:t>For diesel the outlook is more bearish, with h</w:t>
      </w:r>
      <w:r w:rsidR="001F6EBD" w:rsidRPr="00120661">
        <w:t>igher imports from Russia, the US and Middle East</w:t>
      </w:r>
      <w:r>
        <w:t xml:space="preserve"> anticipated</w:t>
      </w:r>
      <w:r w:rsidR="001F743E">
        <w:t>, and stocks already at high levels</w:t>
      </w:r>
      <w:r w:rsidR="001F6EBD" w:rsidRPr="00120661">
        <w:t>.</w:t>
      </w:r>
      <w:r w:rsidR="00727710" w:rsidRPr="00727710">
        <w:t xml:space="preserve"> </w:t>
      </w:r>
      <w:r w:rsidR="001F743E">
        <w:t>Moreover, s</w:t>
      </w:r>
      <w:r w:rsidR="00727710" w:rsidRPr="00727710">
        <w:t xml:space="preserve">tronger demand for gasoline globally has led refineries around the world to increase </w:t>
      </w:r>
      <w:r w:rsidR="001F743E">
        <w:t>throughput</w:t>
      </w:r>
      <w:r w:rsidR="00727710" w:rsidRPr="00727710">
        <w:t xml:space="preserve"> in recent months, creating a surplus of diesel as a by-product</w:t>
      </w:r>
      <w:r w:rsidR="00727710">
        <w:t xml:space="preserve">, while big </w:t>
      </w:r>
      <w:r w:rsidR="006A3E07">
        <w:t xml:space="preserve">middle distillate </w:t>
      </w:r>
      <w:r w:rsidR="00727710">
        <w:t>importers like China have seen a slump in demand</w:t>
      </w:r>
      <w:r w:rsidR="00727710" w:rsidRPr="00727710">
        <w:t xml:space="preserve">. </w:t>
      </w:r>
    </w:p>
    <w:p w:rsidR="001F6EBD" w:rsidRPr="00120661" w:rsidRDefault="00727710" w:rsidP="00120661">
      <w:r>
        <w:t xml:space="preserve">There are limits on refiners’ ability to vary the proportion of each product from any particular </w:t>
      </w:r>
      <w:r w:rsidRPr="00727710">
        <w:t>crude they process.</w:t>
      </w:r>
      <w:r w:rsidR="00014291">
        <w:t xml:space="preserve"> But refiners can go for lighter, more gasoline-rich crudes to boost </w:t>
      </w:r>
      <w:r w:rsidR="001278F5">
        <w:t xml:space="preserve">gasoline </w:t>
      </w:r>
      <w:r w:rsidR="00014291">
        <w:t>output</w:t>
      </w:r>
      <w:r w:rsidR="001278F5">
        <w:t>. S</w:t>
      </w:r>
      <w:r w:rsidR="00014291">
        <w:t>o the state of refined products markets could lead to widening light</w:t>
      </w:r>
      <w:r w:rsidR="001278F5">
        <w:t>,</w:t>
      </w:r>
      <w:r w:rsidR="00014291">
        <w:t xml:space="preserve"> sweet grade premiums </w:t>
      </w:r>
      <w:r w:rsidR="001278F5">
        <w:t>in the crude markets, relative to heavier grades, as refiners seek them out to increase gasoline yields.</w:t>
      </w:r>
      <w:r w:rsidR="00014291">
        <w:t xml:space="preserve"> </w:t>
      </w:r>
    </w:p>
    <w:sectPr w:rsidR="001F6EBD" w:rsidRPr="001206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11FFC"/>
    <w:multiLevelType w:val="multilevel"/>
    <w:tmpl w:val="96DA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554A7"/>
    <w:multiLevelType w:val="multilevel"/>
    <w:tmpl w:val="C4CE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6E0497"/>
    <w:multiLevelType w:val="multilevel"/>
    <w:tmpl w:val="86BC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457"/>
    <w:rsid w:val="0000423B"/>
    <w:rsid w:val="00014291"/>
    <w:rsid w:val="0001436D"/>
    <w:rsid w:val="0008611F"/>
    <w:rsid w:val="00120661"/>
    <w:rsid w:val="001278F5"/>
    <w:rsid w:val="001579F1"/>
    <w:rsid w:val="00194457"/>
    <w:rsid w:val="00195389"/>
    <w:rsid w:val="001F6EBD"/>
    <w:rsid w:val="001F743E"/>
    <w:rsid w:val="00216C6E"/>
    <w:rsid w:val="002944CB"/>
    <w:rsid w:val="002C23B5"/>
    <w:rsid w:val="00340827"/>
    <w:rsid w:val="00343794"/>
    <w:rsid w:val="00462BAB"/>
    <w:rsid w:val="004C17FC"/>
    <w:rsid w:val="004D355F"/>
    <w:rsid w:val="00537F78"/>
    <w:rsid w:val="00566093"/>
    <w:rsid w:val="006237E3"/>
    <w:rsid w:val="006A3E07"/>
    <w:rsid w:val="00727710"/>
    <w:rsid w:val="007A2D1F"/>
    <w:rsid w:val="007B2E71"/>
    <w:rsid w:val="007C6349"/>
    <w:rsid w:val="007D32D5"/>
    <w:rsid w:val="008E0FF9"/>
    <w:rsid w:val="008E480C"/>
    <w:rsid w:val="009C313F"/>
    <w:rsid w:val="009E49FA"/>
    <w:rsid w:val="009E4E27"/>
    <w:rsid w:val="00A46740"/>
    <w:rsid w:val="00B111B7"/>
    <w:rsid w:val="00B25BDD"/>
    <w:rsid w:val="00B45130"/>
    <w:rsid w:val="00BB4163"/>
    <w:rsid w:val="00BF50C4"/>
    <w:rsid w:val="00C26D9A"/>
    <w:rsid w:val="00CB657B"/>
    <w:rsid w:val="00D03643"/>
    <w:rsid w:val="00DC1EAC"/>
    <w:rsid w:val="00DF7573"/>
    <w:rsid w:val="00E23987"/>
    <w:rsid w:val="00E3366F"/>
    <w:rsid w:val="00EF66A7"/>
    <w:rsid w:val="00F21F93"/>
    <w:rsid w:val="00F61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389ED-397D-4AFE-8A51-CEA69911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944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9445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9445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45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9445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94457"/>
    <w:rPr>
      <w:rFonts w:ascii="Times New Roman" w:eastAsia="Times New Roman" w:hAnsi="Times New Roman" w:cs="Times New Roman"/>
      <w:b/>
      <w:bCs/>
      <w:sz w:val="27"/>
      <w:szCs w:val="27"/>
      <w:lang w:eastAsia="en-GB"/>
    </w:rPr>
  </w:style>
  <w:style w:type="character" w:customStyle="1" w:styleId="screen-reader-text">
    <w:name w:val="screen-reader-text"/>
    <w:basedOn w:val="DefaultParagraphFont"/>
    <w:rsid w:val="00194457"/>
  </w:style>
  <w:style w:type="character" w:styleId="Hyperlink">
    <w:name w:val="Hyperlink"/>
    <w:basedOn w:val="DefaultParagraphFont"/>
    <w:uiPriority w:val="99"/>
    <w:unhideWhenUsed/>
    <w:rsid w:val="00194457"/>
    <w:rPr>
      <w:color w:val="0000FF"/>
      <w:u w:val="single"/>
    </w:rPr>
  </w:style>
  <w:style w:type="character" w:customStyle="1" w:styleId="title">
    <w:name w:val="title"/>
    <w:basedOn w:val="DefaultParagraphFont"/>
    <w:rsid w:val="00194457"/>
  </w:style>
  <w:style w:type="character" w:customStyle="1" w:styleId="label">
    <w:name w:val="label"/>
    <w:basedOn w:val="DefaultParagraphFont"/>
    <w:rsid w:val="00194457"/>
  </w:style>
  <w:style w:type="character" w:customStyle="1" w:styleId="influencer-badge">
    <w:name w:val="influencer-badge"/>
    <w:basedOn w:val="DefaultParagraphFont"/>
    <w:rsid w:val="00194457"/>
  </w:style>
  <w:style w:type="paragraph" w:customStyle="1" w:styleId="subtitle">
    <w:name w:val="subtitle"/>
    <w:basedOn w:val="Normal"/>
    <w:rsid w:val="001944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unt">
    <w:name w:val="count"/>
    <w:basedOn w:val="DefaultParagraphFont"/>
    <w:rsid w:val="00194457"/>
  </w:style>
  <w:style w:type="character" w:customStyle="1" w:styleId="apple-converted-space">
    <w:name w:val="apple-converted-space"/>
    <w:basedOn w:val="DefaultParagraphFont"/>
    <w:rsid w:val="00194457"/>
  </w:style>
  <w:style w:type="paragraph" w:styleId="NormalWeb">
    <w:name w:val="Normal (Web)"/>
    <w:basedOn w:val="Normal"/>
    <w:uiPriority w:val="99"/>
    <w:semiHidden/>
    <w:unhideWhenUsed/>
    <w:rsid w:val="001944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94457"/>
    <w:rPr>
      <w:b/>
      <w:bCs/>
    </w:rPr>
  </w:style>
  <w:style w:type="character" w:styleId="Emphasis">
    <w:name w:val="Emphasis"/>
    <w:basedOn w:val="DefaultParagraphFont"/>
    <w:uiPriority w:val="20"/>
    <w:qFormat/>
    <w:rsid w:val="00194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146653">
      <w:bodyDiv w:val="1"/>
      <w:marLeft w:val="0"/>
      <w:marRight w:val="0"/>
      <w:marTop w:val="0"/>
      <w:marBottom w:val="0"/>
      <w:divBdr>
        <w:top w:val="none" w:sz="0" w:space="0" w:color="auto"/>
        <w:left w:val="none" w:sz="0" w:space="0" w:color="auto"/>
        <w:bottom w:val="none" w:sz="0" w:space="0" w:color="auto"/>
        <w:right w:val="none" w:sz="0" w:space="0" w:color="auto"/>
      </w:divBdr>
      <w:divsChild>
        <w:div w:id="1976981535">
          <w:marLeft w:val="0"/>
          <w:marRight w:val="0"/>
          <w:marTop w:val="0"/>
          <w:marBottom w:val="0"/>
          <w:divBdr>
            <w:top w:val="none" w:sz="0" w:space="0" w:color="auto"/>
            <w:left w:val="none" w:sz="0" w:space="0" w:color="auto"/>
            <w:bottom w:val="none" w:sz="0" w:space="0" w:color="auto"/>
            <w:right w:val="none" w:sz="0" w:space="0" w:color="auto"/>
          </w:divBdr>
          <w:divsChild>
            <w:div w:id="392236713">
              <w:marLeft w:val="0"/>
              <w:marRight w:val="0"/>
              <w:marTop w:val="0"/>
              <w:marBottom w:val="0"/>
              <w:divBdr>
                <w:top w:val="none" w:sz="0" w:space="0" w:color="auto"/>
                <w:left w:val="none" w:sz="0" w:space="0" w:color="auto"/>
                <w:bottom w:val="none" w:sz="0" w:space="0" w:color="auto"/>
                <w:right w:val="none" w:sz="0" w:space="0" w:color="auto"/>
              </w:divBdr>
              <w:divsChild>
                <w:div w:id="10552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1261">
          <w:marLeft w:val="0"/>
          <w:marRight w:val="0"/>
          <w:marTop w:val="0"/>
          <w:marBottom w:val="0"/>
          <w:divBdr>
            <w:top w:val="none" w:sz="0" w:space="0" w:color="auto"/>
            <w:left w:val="none" w:sz="0" w:space="0" w:color="auto"/>
            <w:bottom w:val="none" w:sz="0" w:space="0" w:color="auto"/>
            <w:right w:val="none" w:sz="0" w:space="0" w:color="auto"/>
          </w:divBdr>
          <w:divsChild>
            <w:div w:id="1548489494">
              <w:marLeft w:val="0"/>
              <w:marRight w:val="0"/>
              <w:marTop w:val="0"/>
              <w:marBottom w:val="0"/>
              <w:divBdr>
                <w:top w:val="none" w:sz="0" w:space="0" w:color="auto"/>
                <w:left w:val="none" w:sz="0" w:space="0" w:color="auto"/>
                <w:bottom w:val="none" w:sz="0" w:space="0" w:color="auto"/>
                <w:right w:val="none" w:sz="0" w:space="0" w:color="auto"/>
              </w:divBdr>
              <w:divsChild>
                <w:div w:id="1293823702">
                  <w:marLeft w:val="0"/>
                  <w:marRight w:val="0"/>
                  <w:marTop w:val="0"/>
                  <w:marBottom w:val="0"/>
                  <w:divBdr>
                    <w:top w:val="none" w:sz="0" w:space="0" w:color="auto"/>
                    <w:left w:val="none" w:sz="0" w:space="0" w:color="auto"/>
                    <w:bottom w:val="none" w:sz="0" w:space="0" w:color="auto"/>
                    <w:right w:val="none" w:sz="0" w:space="0" w:color="auto"/>
                  </w:divBdr>
                </w:div>
                <w:div w:id="479882902">
                  <w:marLeft w:val="0"/>
                  <w:marRight w:val="0"/>
                  <w:marTop w:val="0"/>
                  <w:marBottom w:val="0"/>
                  <w:divBdr>
                    <w:top w:val="none" w:sz="0" w:space="0" w:color="auto"/>
                    <w:left w:val="none" w:sz="0" w:space="0" w:color="auto"/>
                    <w:bottom w:val="none" w:sz="0" w:space="0" w:color="auto"/>
                    <w:right w:val="none" w:sz="0" w:space="0" w:color="auto"/>
                  </w:divBdr>
                </w:div>
                <w:div w:id="1112212922">
                  <w:marLeft w:val="0"/>
                  <w:marRight w:val="0"/>
                  <w:marTop w:val="0"/>
                  <w:marBottom w:val="0"/>
                  <w:divBdr>
                    <w:top w:val="none" w:sz="0" w:space="0" w:color="auto"/>
                    <w:left w:val="none" w:sz="0" w:space="0" w:color="auto"/>
                    <w:bottom w:val="none" w:sz="0" w:space="0" w:color="auto"/>
                    <w:right w:val="none" w:sz="0" w:space="0" w:color="auto"/>
                  </w:divBdr>
                </w:div>
                <w:div w:id="637881683">
                  <w:marLeft w:val="0"/>
                  <w:marRight w:val="0"/>
                  <w:marTop w:val="0"/>
                  <w:marBottom w:val="0"/>
                  <w:divBdr>
                    <w:top w:val="none" w:sz="0" w:space="0" w:color="auto"/>
                    <w:left w:val="none" w:sz="0" w:space="0" w:color="auto"/>
                    <w:bottom w:val="none" w:sz="0" w:space="0" w:color="auto"/>
                    <w:right w:val="none" w:sz="0" w:space="0" w:color="auto"/>
                  </w:divBdr>
                </w:div>
                <w:div w:id="1012948598">
                  <w:marLeft w:val="0"/>
                  <w:marRight w:val="0"/>
                  <w:marTop w:val="0"/>
                  <w:marBottom w:val="0"/>
                  <w:divBdr>
                    <w:top w:val="none" w:sz="0" w:space="0" w:color="auto"/>
                    <w:left w:val="none" w:sz="0" w:space="0" w:color="auto"/>
                    <w:bottom w:val="none" w:sz="0" w:space="0" w:color="auto"/>
                    <w:right w:val="none" w:sz="0" w:space="0" w:color="auto"/>
                  </w:divBdr>
                </w:div>
                <w:div w:id="1839032550">
                  <w:marLeft w:val="0"/>
                  <w:marRight w:val="0"/>
                  <w:marTop w:val="0"/>
                  <w:marBottom w:val="0"/>
                  <w:divBdr>
                    <w:top w:val="none" w:sz="0" w:space="0" w:color="auto"/>
                    <w:left w:val="none" w:sz="0" w:space="0" w:color="auto"/>
                    <w:bottom w:val="none" w:sz="0" w:space="0" w:color="auto"/>
                    <w:right w:val="none" w:sz="0" w:space="0" w:color="auto"/>
                  </w:divBdr>
                </w:div>
                <w:div w:id="1464541341">
                  <w:marLeft w:val="0"/>
                  <w:marRight w:val="0"/>
                  <w:marTop w:val="0"/>
                  <w:marBottom w:val="0"/>
                  <w:divBdr>
                    <w:top w:val="none" w:sz="0" w:space="0" w:color="auto"/>
                    <w:left w:val="none" w:sz="0" w:space="0" w:color="auto"/>
                    <w:bottom w:val="none" w:sz="0" w:space="0" w:color="auto"/>
                    <w:right w:val="none" w:sz="0" w:space="0" w:color="auto"/>
                  </w:divBdr>
                </w:div>
                <w:div w:id="377903569">
                  <w:marLeft w:val="0"/>
                  <w:marRight w:val="0"/>
                  <w:marTop w:val="0"/>
                  <w:marBottom w:val="0"/>
                  <w:divBdr>
                    <w:top w:val="none" w:sz="0" w:space="0" w:color="auto"/>
                    <w:left w:val="none" w:sz="0" w:space="0" w:color="auto"/>
                    <w:bottom w:val="none" w:sz="0" w:space="0" w:color="auto"/>
                    <w:right w:val="none" w:sz="0" w:space="0" w:color="auto"/>
                  </w:divBdr>
                </w:div>
                <w:div w:id="1414012219">
                  <w:marLeft w:val="0"/>
                  <w:marRight w:val="0"/>
                  <w:marTop w:val="0"/>
                  <w:marBottom w:val="0"/>
                  <w:divBdr>
                    <w:top w:val="none" w:sz="0" w:space="0" w:color="auto"/>
                    <w:left w:val="none" w:sz="0" w:space="0" w:color="auto"/>
                    <w:bottom w:val="none" w:sz="0" w:space="0" w:color="auto"/>
                    <w:right w:val="none" w:sz="0" w:space="0" w:color="auto"/>
                  </w:divBdr>
                </w:div>
                <w:div w:id="914319106">
                  <w:marLeft w:val="0"/>
                  <w:marRight w:val="0"/>
                  <w:marTop w:val="0"/>
                  <w:marBottom w:val="0"/>
                  <w:divBdr>
                    <w:top w:val="none" w:sz="0" w:space="0" w:color="auto"/>
                    <w:left w:val="none" w:sz="0" w:space="0" w:color="auto"/>
                    <w:bottom w:val="none" w:sz="0" w:space="0" w:color="auto"/>
                    <w:right w:val="none" w:sz="0" w:space="0" w:color="auto"/>
                  </w:divBdr>
                </w:div>
                <w:div w:id="201865963">
                  <w:marLeft w:val="0"/>
                  <w:marRight w:val="0"/>
                  <w:marTop w:val="0"/>
                  <w:marBottom w:val="0"/>
                  <w:divBdr>
                    <w:top w:val="none" w:sz="0" w:space="0" w:color="auto"/>
                    <w:left w:val="none" w:sz="0" w:space="0" w:color="auto"/>
                    <w:bottom w:val="none" w:sz="0" w:space="0" w:color="auto"/>
                    <w:right w:val="none" w:sz="0" w:space="0" w:color="auto"/>
                  </w:divBdr>
                </w:div>
                <w:div w:id="12489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454">
          <w:marLeft w:val="0"/>
          <w:marRight w:val="0"/>
          <w:marTop w:val="0"/>
          <w:marBottom w:val="0"/>
          <w:divBdr>
            <w:top w:val="none" w:sz="0" w:space="0" w:color="auto"/>
            <w:left w:val="none" w:sz="0" w:space="0" w:color="auto"/>
            <w:bottom w:val="none" w:sz="0" w:space="0" w:color="auto"/>
            <w:right w:val="none" w:sz="0" w:space="0" w:color="auto"/>
          </w:divBdr>
          <w:divsChild>
            <w:div w:id="675155286">
              <w:marLeft w:val="0"/>
              <w:marRight w:val="0"/>
              <w:marTop w:val="0"/>
              <w:marBottom w:val="480"/>
              <w:divBdr>
                <w:top w:val="none" w:sz="0" w:space="0" w:color="auto"/>
                <w:left w:val="none" w:sz="0" w:space="0" w:color="auto"/>
                <w:bottom w:val="none" w:sz="0" w:space="0" w:color="auto"/>
                <w:right w:val="none" w:sz="0" w:space="0" w:color="auto"/>
              </w:divBdr>
              <w:divsChild>
                <w:div w:id="1084453154">
                  <w:marLeft w:val="-360"/>
                  <w:marRight w:val="-360"/>
                  <w:marTop w:val="0"/>
                  <w:marBottom w:val="0"/>
                  <w:divBdr>
                    <w:top w:val="none" w:sz="0" w:space="0" w:color="auto"/>
                    <w:left w:val="none" w:sz="0" w:space="0" w:color="auto"/>
                    <w:bottom w:val="none" w:sz="0" w:space="0" w:color="auto"/>
                    <w:right w:val="none" w:sz="0" w:space="0" w:color="auto"/>
                  </w:divBdr>
                </w:div>
                <w:div w:id="2014792937">
                  <w:marLeft w:val="0"/>
                  <w:marRight w:val="0"/>
                  <w:marTop w:val="0"/>
                  <w:marBottom w:val="0"/>
                  <w:divBdr>
                    <w:top w:val="none" w:sz="0" w:space="0" w:color="auto"/>
                    <w:left w:val="none" w:sz="0" w:space="0" w:color="auto"/>
                    <w:bottom w:val="single" w:sz="6" w:space="0" w:color="auto"/>
                    <w:right w:val="none" w:sz="0" w:space="0" w:color="auto"/>
                  </w:divBdr>
                  <w:divsChild>
                    <w:div w:id="1396925792">
                      <w:marLeft w:val="0"/>
                      <w:marRight w:val="0"/>
                      <w:marTop w:val="0"/>
                      <w:marBottom w:val="0"/>
                      <w:divBdr>
                        <w:top w:val="none" w:sz="0" w:space="0" w:color="auto"/>
                        <w:left w:val="none" w:sz="0" w:space="0" w:color="auto"/>
                        <w:bottom w:val="none" w:sz="0" w:space="0" w:color="auto"/>
                        <w:right w:val="none" w:sz="0" w:space="0" w:color="auto"/>
                      </w:divBdr>
                    </w:div>
                    <w:div w:id="9535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9050">
              <w:marLeft w:val="0"/>
              <w:marRight w:val="0"/>
              <w:marTop w:val="0"/>
              <w:marBottom w:val="0"/>
              <w:divBdr>
                <w:top w:val="none" w:sz="0" w:space="0" w:color="auto"/>
                <w:left w:val="none" w:sz="0" w:space="0" w:color="auto"/>
                <w:bottom w:val="none" w:sz="0" w:space="0" w:color="auto"/>
                <w:right w:val="none" w:sz="0" w:space="0" w:color="auto"/>
              </w:divBdr>
              <w:divsChild>
                <w:div w:id="1380057979">
                  <w:marLeft w:val="0"/>
                  <w:marRight w:val="0"/>
                  <w:marTop w:val="0"/>
                  <w:marBottom w:val="360"/>
                  <w:divBdr>
                    <w:top w:val="none" w:sz="0" w:space="0" w:color="auto"/>
                    <w:left w:val="none" w:sz="0" w:space="0" w:color="auto"/>
                    <w:bottom w:val="none" w:sz="0" w:space="0" w:color="auto"/>
                    <w:right w:val="none" w:sz="0" w:space="0" w:color="auto"/>
                  </w:divBdr>
                </w:div>
                <w:div w:id="578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European</a:t>
            </a:r>
            <a:r>
              <a:rPr lang="en-GB" baseline="0"/>
              <a:t> gasoline and diesel prices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Gasoline price</c:v>
                </c:pt>
              </c:strCache>
            </c:strRef>
          </c:tx>
          <c:spPr>
            <a:solidFill>
              <a:schemeClr val="accent1"/>
            </a:solidFill>
            <a:ln>
              <a:noFill/>
            </a:ln>
            <a:effectLst/>
          </c:spPr>
          <c:invertIfNegative val="0"/>
          <c:cat>
            <c:strRef>
              <c:f>Sheet1!$A$2:$A$9</c:f>
              <c:strCache>
                <c:ptCount val="7"/>
                <c:pt idx="0">
                  <c:v>UK</c:v>
                </c:pt>
                <c:pt idx="1">
                  <c:v>Italy</c:v>
                </c:pt>
                <c:pt idx="2">
                  <c:v>EU Average</c:v>
                </c:pt>
                <c:pt idx="3">
                  <c:v>Germany</c:v>
                </c:pt>
                <c:pt idx="4">
                  <c:v>France</c:v>
                </c:pt>
                <c:pt idx="5">
                  <c:v>Spain</c:v>
                </c:pt>
                <c:pt idx="6">
                  <c:v>Poland</c:v>
                </c:pt>
              </c:strCache>
            </c:strRef>
          </c:cat>
          <c:val>
            <c:numRef>
              <c:f>Sheet1!$B$2:$B$9</c:f>
              <c:numCache>
                <c:formatCode>General</c:formatCode>
                <c:ptCount val="8"/>
                <c:pt idx="0">
                  <c:v>1.55</c:v>
                </c:pt>
                <c:pt idx="1">
                  <c:v>1.54</c:v>
                </c:pt>
                <c:pt idx="2">
                  <c:v>1.4</c:v>
                </c:pt>
                <c:pt idx="3">
                  <c:v>1.38</c:v>
                </c:pt>
                <c:pt idx="4">
                  <c:v>1.36</c:v>
                </c:pt>
                <c:pt idx="5">
                  <c:v>1.23</c:v>
                </c:pt>
                <c:pt idx="6">
                  <c:v>1.1399999999999999</c:v>
                </c:pt>
              </c:numCache>
            </c:numRef>
          </c:val>
        </c:ser>
        <c:ser>
          <c:idx val="1"/>
          <c:order val="1"/>
          <c:tx>
            <c:strRef>
              <c:f>Sheet1!$C$1</c:f>
              <c:strCache>
                <c:ptCount val="1"/>
                <c:pt idx="0">
                  <c:v>Diesel price</c:v>
                </c:pt>
              </c:strCache>
            </c:strRef>
          </c:tx>
          <c:spPr>
            <a:solidFill>
              <a:schemeClr val="accent2"/>
            </a:solidFill>
            <a:ln>
              <a:noFill/>
            </a:ln>
            <a:effectLst/>
          </c:spPr>
          <c:invertIfNegative val="0"/>
          <c:cat>
            <c:strRef>
              <c:f>Sheet1!$A$2:$A$9</c:f>
              <c:strCache>
                <c:ptCount val="7"/>
                <c:pt idx="0">
                  <c:v>UK</c:v>
                </c:pt>
                <c:pt idx="1">
                  <c:v>Italy</c:v>
                </c:pt>
                <c:pt idx="2">
                  <c:v>EU Average</c:v>
                </c:pt>
                <c:pt idx="3">
                  <c:v>Germany</c:v>
                </c:pt>
                <c:pt idx="4">
                  <c:v>France</c:v>
                </c:pt>
                <c:pt idx="5">
                  <c:v>Spain</c:v>
                </c:pt>
                <c:pt idx="6">
                  <c:v>Poland</c:v>
                </c:pt>
              </c:strCache>
            </c:strRef>
          </c:cat>
          <c:val>
            <c:numRef>
              <c:f>Sheet1!$C$2:$C$9</c:f>
              <c:numCache>
                <c:formatCode>General</c:formatCode>
                <c:ptCount val="8"/>
                <c:pt idx="0">
                  <c:v>1.53</c:v>
                </c:pt>
                <c:pt idx="1">
                  <c:v>1.38</c:v>
                </c:pt>
                <c:pt idx="2">
                  <c:v>1.19</c:v>
                </c:pt>
                <c:pt idx="3">
                  <c:v>1.1399999999999999</c:v>
                </c:pt>
                <c:pt idx="4">
                  <c:v>1.1200000000000001</c:v>
                </c:pt>
                <c:pt idx="5">
                  <c:v>1.0900000000000001</c:v>
                </c:pt>
                <c:pt idx="6">
                  <c:v>1.04</c:v>
                </c:pt>
              </c:numCache>
            </c:numRef>
          </c:val>
        </c:ser>
        <c:dLbls>
          <c:showLegendKey val="0"/>
          <c:showVal val="0"/>
          <c:showCatName val="0"/>
          <c:showSerName val="0"/>
          <c:showPercent val="0"/>
          <c:showBubbleSize val="0"/>
        </c:dLbls>
        <c:gapWidth val="219"/>
        <c:overlap val="-27"/>
        <c:axId val="417480680"/>
        <c:axId val="417481464"/>
      </c:barChart>
      <c:catAx>
        <c:axId val="417480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Country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481464"/>
        <c:crosses val="autoZero"/>
        <c:auto val="1"/>
        <c:lblAlgn val="ctr"/>
        <c:lblOffset val="100"/>
        <c:noMultiLvlLbl val="0"/>
      </c:catAx>
      <c:valAx>
        <c:axId val="417481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Price per litre (Euros)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480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1411</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11</cp:revision>
  <dcterms:created xsi:type="dcterms:W3CDTF">2015-09-01T07:48:00Z</dcterms:created>
  <dcterms:modified xsi:type="dcterms:W3CDTF">2015-09-02T08:24:00Z</dcterms:modified>
</cp:coreProperties>
</file>